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民事诉讼法形考作业</w:t>
      </w:r>
    </w:p>
    <w:p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名词解释</w:t>
      </w:r>
    </w:p>
    <w:p>
      <w:pPr>
        <w:rPr>
          <w:rFonts w:hint="eastAsia"/>
        </w:rPr>
      </w:pPr>
      <w:r>
        <w:rPr>
          <w:rFonts w:hint="eastAsia"/>
        </w:rPr>
        <w:t xml:space="preserve">1.再审案件 </w:t>
      </w:r>
    </w:p>
    <w:p>
      <w:pPr>
        <w:rPr>
          <w:rFonts w:hint="eastAsia"/>
        </w:rPr>
      </w:pPr>
      <w:r>
        <w:rPr>
          <w:rFonts w:hint="eastAsia"/>
        </w:rPr>
        <w:t>2.合议制</w:t>
      </w:r>
    </w:p>
    <w:p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  <w:lang w:val="en-US" w:eastAsia="zh-CN"/>
        </w:rPr>
        <w:t>指定管辖</w:t>
      </w:r>
    </w:p>
    <w:p>
      <w:pPr>
        <w:rPr>
          <w:rFonts w:hint="eastAsia"/>
        </w:rPr>
      </w:pPr>
      <w:r>
        <w:rPr>
          <w:rFonts w:hint="eastAsia"/>
        </w:rPr>
        <w:t>4.委托代理人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执行中止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.公开审判制度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破产财产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8.移送管辖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9.委托代理人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10.协议管辖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、简答题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1．简述诉的概念和种类。  </w:t>
      </w:r>
    </w:p>
    <w:p>
      <w:pPr>
        <w:rPr>
          <w:rFonts w:hint="eastAsia"/>
        </w:rPr>
      </w:pPr>
      <w:r>
        <w:rPr>
          <w:rFonts w:hint="eastAsia"/>
        </w:rPr>
        <w:t>2．申请再审的条件有哪些？ </w:t>
      </w:r>
    </w:p>
    <w:p>
      <w:pPr>
        <w:rPr>
          <w:rFonts w:hint="eastAsia"/>
        </w:rPr>
      </w:pPr>
      <w:r>
        <w:rPr>
          <w:rFonts w:hint="eastAsia"/>
        </w:rPr>
        <w:t>3．简述执行回转的原因。   </w:t>
      </w:r>
    </w:p>
    <w:p>
      <w:pPr>
        <w:rPr>
          <w:rFonts w:hint="eastAsia"/>
        </w:rPr>
      </w:pPr>
      <w:r>
        <w:rPr>
          <w:rFonts w:hint="eastAsia"/>
        </w:rPr>
        <w:t>4．支持起诉应符合哪些条件？ </w:t>
      </w:r>
    </w:p>
    <w:p>
      <w:pPr>
        <w:rPr>
          <w:rFonts w:hint="eastAsia"/>
        </w:rPr>
      </w:pPr>
      <w:r>
        <w:rPr>
          <w:rFonts w:hint="eastAsia"/>
        </w:rPr>
        <w:t>5．简述涉外诉讼管辖的原则。 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．简述普通共同诉讼的特点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．人民法院认定财产无主案件的成立，必须具备哪些要件？ 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8.  确定管辖依据的原则有哪些？</w:t>
      </w:r>
      <w:r>
        <w:rPr>
          <w:rFonts w:hint="eastAsia"/>
        </w:rPr>
        <w:tab/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论述题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．简述普通共同诉讼的含义和特点。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 xml:space="preserve">试述诉讼证据在民事诉讼中的作用？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对妨害民事诉讼行为采取强制措施的意义是什么？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 试述开庭审理的顺序。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 试述上诉具备的条件。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3992"/>
    <w:rsid w:val="01FC4509"/>
    <w:rsid w:val="092652F0"/>
    <w:rsid w:val="259E09B0"/>
    <w:rsid w:val="290B2AFB"/>
    <w:rsid w:val="3A483992"/>
    <w:rsid w:val="419007FC"/>
    <w:rsid w:val="4DA27161"/>
    <w:rsid w:val="4EE55B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2019-05-08T09:00:00Z</dcterms:created>
  <dc:creator>Administrator</dc:creator>
  <cp:lastModifiedBy>绿萝</cp:lastModifiedBy>
  <dcterms:modified xsi:type="dcterms:W3CDTF">2020-05-18T07:44:09Z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